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正文 A"/>
        <w:spacing w:line="360" w:lineRule="auto"/>
        <w:jc w:val="center"/>
        <w:rPr>
          <w:sz w:val="44"/>
          <w:szCs w:val="44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44"/>
          <w:szCs w:val="44"/>
          <w:rtl w:val="0"/>
          <w:lang w:val="zh-CN" w:eastAsia="zh-CN"/>
        </w:rPr>
        <w:t>捷翔</w:t>
      </w:r>
      <w:r>
        <w:rPr>
          <w:rFonts w:ascii="Times New Roman" w:hAnsi="Times New Roman"/>
          <w:sz w:val="44"/>
          <w:szCs w:val="44"/>
          <w:rtl w:val="0"/>
          <w:lang w:val="zh-CN" w:eastAsia="zh-CN"/>
        </w:rPr>
        <w:t>OA</w:t>
      </w:r>
      <w:r>
        <w:rPr>
          <w:rFonts w:ascii="宋体" w:cs="宋体" w:hAnsi="宋体" w:eastAsia="宋体"/>
          <w:sz w:val="44"/>
          <w:szCs w:val="44"/>
          <w:rtl w:val="0"/>
          <w:lang w:val="zh-TW" w:eastAsia="zh-TW"/>
        </w:rPr>
        <w:t>产品报价</w:t>
      </w:r>
    </w:p>
    <w:p>
      <w:pPr>
        <w:pStyle w:val="正文 A"/>
        <w:spacing w:line="360" w:lineRule="auto"/>
        <w:jc w:val="center"/>
        <w:rPr>
          <w:sz w:val="44"/>
          <w:szCs w:val="44"/>
        </w:rPr>
      </w:pPr>
    </w:p>
    <w:p>
      <w:pPr>
        <w:pStyle w:val="正文 A"/>
        <w:spacing w:line="360" w:lineRule="auto"/>
        <w:rPr>
          <w:b w:val="1"/>
          <w:bCs w:val="1"/>
          <w:sz w:val="24"/>
          <w:szCs w:val="24"/>
          <w:lang w:val="zh-TW" w:eastAsia="zh-TW"/>
        </w:rPr>
      </w:pP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用户包版</w:t>
      </w:r>
    </w:p>
    <w:tbl>
      <w:tblPr>
        <w:tblW w:w="83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07"/>
        <w:gridCol w:w="2202"/>
        <w:gridCol w:w="3791"/>
      </w:tblGrid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830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1f1f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CN" w:eastAsia="zh-CN"/>
              </w:rPr>
              <w:t>捷翔</w:t>
            </w: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en-US"/>
              </w:rPr>
              <w:t>OA</w:t>
            </w: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TW" w:eastAsia="zh-TW"/>
              </w:rPr>
              <w:t>平台版用户包价格表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2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TW" w:eastAsia="zh-TW"/>
              </w:rPr>
              <w:t>用户数</w:t>
            </w:r>
          </w:p>
        </w:tc>
        <w:tc>
          <w:tcPr>
            <w:tcW w:type="dxa" w:w="2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TW" w:eastAsia="zh-TW"/>
              </w:rPr>
              <w:t>价格</w:t>
            </w:r>
          </w:p>
        </w:tc>
        <w:tc>
          <w:tcPr>
            <w:tcW w:type="dxa" w:w="3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TW" w:eastAsia="zh-TW"/>
              </w:rPr>
              <w:t>备注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2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en-US"/>
              </w:rPr>
              <w:t>200</w:t>
            </w:r>
          </w:p>
        </w:tc>
        <w:tc>
          <w:tcPr>
            <w:tcW w:type="dxa" w:w="2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right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en-US"/>
              </w:rPr>
              <w:t>12000</w:t>
            </w:r>
          </w:p>
        </w:tc>
        <w:tc>
          <w:tcPr>
            <w:tcW w:type="dxa" w:w="3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widowControl w:val="1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TW" w:eastAsia="zh-TW"/>
              </w:rPr>
              <w:t>可切分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en-US"/>
              </w:rPr>
              <w:t>2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TW" w:eastAsia="zh-TW"/>
              </w:rPr>
              <w:t>次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2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en-US"/>
              </w:rPr>
              <w:t>300</w:t>
            </w:r>
          </w:p>
        </w:tc>
        <w:tc>
          <w:tcPr>
            <w:tcW w:type="dxa" w:w="2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right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en-US"/>
              </w:rPr>
              <w:t>15000</w:t>
            </w:r>
          </w:p>
        </w:tc>
        <w:tc>
          <w:tcPr>
            <w:tcW w:type="dxa" w:w="3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widowControl w:val="1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TW" w:eastAsia="zh-TW"/>
              </w:rPr>
              <w:t>可切分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en-US"/>
              </w:rPr>
              <w:t>3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TW" w:eastAsia="zh-TW"/>
              </w:rPr>
              <w:t>次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2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en-US"/>
              </w:rPr>
              <w:t>400</w:t>
            </w:r>
          </w:p>
        </w:tc>
        <w:tc>
          <w:tcPr>
            <w:tcW w:type="dxa" w:w="22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right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en-US"/>
              </w:rPr>
              <w:t>20000</w:t>
            </w:r>
          </w:p>
        </w:tc>
        <w:tc>
          <w:tcPr>
            <w:tcW w:type="dxa" w:w="3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widowControl w:val="1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TW" w:eastAsia="zh-TW"/>
              </w:rPr>
              <w:t>可切分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en-US"/>
              </w:rPr>
              <w:t>4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TW" w:eastAsia="zh-TW"/>
              </w:rPr>
              <w:t>次</w:t>
            </w:r>
          </w:p>
        </w:tc>
      </w:tr>
    </w:tbl>
    <w:p>
      <w:pPr>
        <w:pStyle w:val="正文 A"/>
        <w:rPr>
          <w:b w:val="1"/>
          <w:bCs w:val="1"/>
          <w:sz w:val="24"/>
          <w:szCs w:val="24"/>
        </w:rPr>
      </w:pPr>
    </w:p>
    <w:p>
      <w:pPr>
        <w:pStyle w:val="正文 A"/>
        <w:spacing w:line="360" w:lineRule="auto"/>
        <w:rPr>
          <w:rFonts w:ascii="宋体" w:cs="宋体" w:hAnsi="宋体" w:eastAsia="宋体"/>
          <w:lang w:val="zh-TW" w:eastAsia="zh-TW"/>
        </w:rPr>
      </w:pPr>
      <w:r>
        <w:rPr>
          <w:rFonts w:ascii="宋体" w:cs="宋体" w:hAnsi="宋体" w:eastAsia="宋体"/>
          <w:rtl w:val="0"/>
          <w:lang w:val="zh-TW" w:eastAsia="zh-TW"/>
        </w:rPr>
        <w:t xml:space="preserve">    此版本用户数可以进行任意的拆分，分若干次进行销售，最低拆分数量为</w:t>
      </w:r>
      <w:r>
        <w:rPr>
          <w:rFonts w:ascii="Times New Roman" w:hAnsi="Times New Roman"/>
          <w:rtl w:val="0"/>
          <w:lang w:val="en-US"/>
        </w:rPr>
        <w:t>50</w:t>
      </w:r>
      <w:r>
        <w:rPr>
          <w:rFonts w:ascii="宋体" w:cs="宋体" w:hAnsi="宋体" w:eastAsia="宋体"/>
          <w:rtl w:val="0"/>
          <w:lang w:val="zh-TW" w:eastAsia="zh-TW"/>
        </w:rPr>
        <w:t>个用户。</w:t>
      </w:r>
    </w:p>
    <w:p>
      <w:pPr>
        <w:pStyle w:val="正文 A"/>
        <w:spacing w:line="360" w:lineRule="auto"/>
      </w:pPr>
      <w:r>
        <w:rPr>
          <w:rFonts w:ascii="宋体" w:cs="宋体" w:hAnsi="宋体" w:eastAsia="宋体"/>
          <w:rtl w:val="0"/>
          <w:lang w:val="zh-CN" w:eastAsia="zh-CN"/>
        </w:rPr>
        <w:t xml:space="preserve">  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CN" w:eastAsia="zh-CN"/>
        </w:rPr>
        <w:t>一次性款项付清。</w:t>
      </w:r>
    </w:p>
    <w:p>
      <w:pPr>
        <w:pStyle w:val="正文 A"/>
        <w:spacing w:line="360" w:lineRule="auto"/>
      </w:pPr>
    </w:p>
    <w:p>
      <w:pPr>
        <w:pStyle w:val="正文 A"/>
        <w:spacing w:line="360" w:lineRule="auto"/>
        <w:rPr>
          <w:rFonts w:ascii="宋体" w:cs="宋体" w:hAnsi="宋体" w:eastAsia="宋体"/>
          <w:b w:val="1"/>
          <w:bCs w:val="1"/>
          <w:sz w:val="24"/>
          <w:szCs w:val="24"/>
          <w:lang w:val="zh-TW" w:eastAsia="zh-TW"/>
        </w:rPr>
      </w:pP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CN" w:eastAsia="zh-CN"/>
        </w:rPr>
        <w:t>项目型用户数版本</w:t>
      </w:r>
    </w:p>
    <w:tbl>
      <w:tblPr>
        <w:tblW w:w="829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04"/>
        <w:gridCol w:w="2199"/>
        <w:gridCol w:w="3787"/>
      </w:tblGrid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82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1f1f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CN" w:eastAsia="zh-CN"/>
              </w:rPr>
              <w:t>捷翔</w:t>
            </w: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en-US"/>
              </w:rPr>
              <w:t>OA</w:t>
            </w: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TW" w:eastAsia="zh-TW"/>
              </w:rPr>
              <w:t>平台版用户</w:t>
            </w: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CN" w:eastAsia="zh-CN"/>
              </w:rPr>
              <w:t>数</w:t>
            </w: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TW" w:eastAsia="zh-TW"/>
              </w:rPr>
              <w:t>价格表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2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TW" w:eastAsia="zh-TW"/>
              </w:rPr>
              <w:t>用户数</w:t>
            </w:r>
          </w:p>
        </w:tc>
        <w:tc>
          <w:tcPr>
            <w:tcW w:type="dxa" w:w="21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TW" w:eastAsia="zh-TW"/>
              </w:rPr>
              <w:t>价格</w:t>
            </w:r>
          </w:p>
        </w:tc>
        <w:tc>
          <w:tcPr>
            <w:tcW w:type="dxa" w:w="37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b w:val="1"/>
                <w:bCs w:val="1"/>
                <w:kern w:val="0"/>
                <w:sz w:val="24"/>
                <w:szCs w:val="24"/>
                <w:rtl w:val="0"/>
                <w:lang w:val="zh-TW" w:eastAsia="zh-TW"/>
              </w:rPr>
              <w:t>备注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2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CN" w:eastAsia="zh-CN"/>
              </w:rPr>
              <w:t>100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CN" w:eastAsia="zh-CN"/>
              </w:rPr>
              <w:t>包含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CN" w:eastAsia="zh-CN"/>
              </w:rPr>
              <w:t>100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CN" w:eastAsia="zh-CN"/>
              </w:rPr>
              <w:t>以内</w:t>
            </w:r>
          </w:p>
        </w:tc>
        <w:tc>
          <w:tcPr>
            <w:tcW w:type="dxa" w:w="21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微软雅黑" w:cs="微软雅黑" w:hAnsi="微软雅黑" w:eastAsia="微软雅黑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用户数单价：</w:t>
            </w:r>
            <w:r>
              <w:rPr>
                <w:rFonts w:ascii="微软雅黑" w:cs="微软雅黑" w:hAnsi="微软雅黑" w:eastAsia="微软雅黑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100</w:t>
            </w:r>
          </w:p>
        </w:tc>
        <w:tc>
          <w:tcPr>
            <w:tcW w:type="dxa" w:w="37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2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CN" w:eastAsia="zh-CN"/>
              </w:rPr>
              <w:t>2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en-US"/>
              </w:rPr>
              <w:t>00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CN" w:eastAsia="zh-CN"/>
              </w:rPr>
              <w:t>包含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CN" w:eastAsia="zh-CN"/>
              </w:rPr>
              <w:t>200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CN" w:eastAsia="zh-CN"/>
              </w:rPr>
              <w:t>以内</w:t>
            </w:r>
          </w:p>
        </w:tc>
        <w:tc>
          <w:tcPr>
            <w:tcW w:type="dxa" w:w="21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微软雅黑" w:cs="微软雅黑" w:hAnsi="微软雅黑" w:eastAsia="微软雅黑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用户数单价：</w:t>
            </w:r>
            <w:r>
              <w:rPr>
                <w:rFonts w:ascii="微软雅黑" w:cs="微软雅黑" w:hAnsi="微软雅黑" w:eastAsia="微软雅黑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90</w:t>
            </w:r>
          </w:p>
        </w:tc>
        <w:tc>
          <w:tcPr>
            <w:tcW w:type="dxa" w:w="37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2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widowControl w:val="1"/>
              <w:jc w:val="center"/>
            </w:pP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CN" w:eastAsia="zh-CN"/>
              </w:rPr>
              <w:t>200</w:t>
            </w:r>
            <w:r>
              <w:rPr>
                <w:rFonts w:ascii="微软雅黑" w:cs="微软雅黑" w:hAnsi="微软雅黑" w:eastAsia="微软雅黑"/>
                <w:kern w:val="0"/>
                <w:sz w:val="24"/>
                <w:szCs w:val="24"/>
                <w:rtl w:val="0"/>
                <w:lang w:val="zh-CN" w:eastAsia="zh-CN"/>
              </w:rPr>
              <w:t>以上</w:t>
            </w:r>
          </w:p>
        </w:tc>
        <w:tc>
          <w:tcPr>
            <w:tcW w:type="dxa" w:w="21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微软雅黑" w:cs="微软雅黑" w:hAnsi="微软雅黑" w:eastAsia="微软雅黑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用户数单价：</w:t>
            </w:r>
            <w:r>
              <w:rPr>
                <w:rFonts w:ascii="微软雅黑" w:cs="微软雅黑" w:hAnsi="微软雅黑" w:eastAsia="微软雅黑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80</w:t>
            </w:r>
          </w:p>
        </w:tc>
        <w:tc>
          <w:tcPr>
            <w:tcW w:type="dxa" w:w="37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正文 A"/>
        <w:spacing w:line="360" w:lineRule="auto"/>
        <w:rPr>
          <w:rFonts w:ascii="宋体" w:cs="宋体" w:hAnsi="宋体" w:eastAsia="宋体"/>
          <w:b w:val="1"/>
          <w:bCs w:val="1"/>
          <w:sz w:val="24"/>
          <w:szCs w:val="24"/>
          <w:lang w:val="zh-TW" w:eastAsia="zh-TW"/>
        </w:rPr>
      </w:pPr>
    </w:p>
    <w:p>
      <w:pPr>
        <w:pStyle w:val="正文 A"/>
        <w:spacing w:line="360" w:lineRule="auto"/>
      </w:pPr>
    </w:p>
    <w:p>
      <w:pPr>
        <w:pStyle w:val="正文 A"/>
        <w:spacing w:line="360" w:lineRule="auto"/>
      </w:pPr>
    </w:p>
    <w:p>
      <w:pPr>
        <w:pStyle w:val="正文 A"/>
        <w:spacing w:line="360" w:lineRule="auto"/>
      </w:pPr>
    </w:p>
    <w:p>
      <w:pPr>
        <w:pStyle w:val="正文 A"/>
        <w:spacing w:line="360" w:lineRule="auto"/>
      </w:pPr>
    </w:p>
    <w:p>
      <w:pPr>
        <w:pStyle w:val="正文 A"/>
        <w:spacing w:line="360" w:lineRule="auto"/>
      </w:pPr>
    </w:p>
    <w:p>
      <w:pPr>
        <w:pStyle w:val="正文 A"/>
        <w:spacing w:line="360" w:lineRule="auto"/>
        <w:jc w:val="right"/>
        <w:rPr>
          <w:lang w:val="zh-TW" w:eastAsia="zh-TW"/>
        </w:rPr>
      </w:pPr>
      <w:r>
        <w:rPr>
          <w:rFonts w:ascii="宋体" w:cs="宋体" w:hAnsi="宋体" w:eastAsia="宋体"/>
          <w:rtl w:val="0"/>
          <w:lang w:val="zh-TW" w:eastAsia="zh-TW"/>
        </w:rPr>
        <w:t xml:space="preserve">                                                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CN" w:eastAsia="zh-CN"/>
        </w:rPr>
        <w:t>杭州捷翔科技</w:t>
      </w:r>
      <w:r>
        <w:rPr>
          <w:rFonts w:ascii="宋体" w:cs="宋体" w:hAnsi="宋体" w:eastAsia="宋体"/>
          <w:rtl w:val="0"/>
          <w:lang w:val="zh-TW" w:eastAsia="zh-TW"/>
        </w:rPr>
        <w:t>有限公司</w:t>
      </w:r>
    </w:p>
    <w:p>
      <w:pPr>
        <w:pStyle w:val="正文 A"/>
        <w:spacing w:line="360" w:lineRule="auto"/>
        <w:jc w:val="right"/>
        <w:rPr>
          <w:lang w:val="zh-TW" w:eastAsia="zh-TW"/>
        </w:rPr>
      </w:pPr>
      <w:r>
        <w:rPr>
          <w:rFonts w:ascii="宋体" w:cs="宋体" w:hAnsi="宋体" w:eastAsia="宋体"/>
          <w:rtl w:val="0"/>
          <w:lang w:val="zh-TW" w:eastAsia="zh-TW"/>
        </w:rPr>
        <w:t xml:space="preserve">                                        华东区区域经理：</w:t>
      </w:r>
    </w:p>
    <w:p>
      <w:pPr>
        <w:pStyle w:val="正文 A"/>
        <w:spacing w:line="360" w:lineRule="auto"/>
        <w:jc w:val="right"/>
      </w:pPr>
      <w:r>
        <w:rPr>
          <w:rFonts w:ascii="宋体" w:cs="宋体" w:hAnsi="宋体" w:eastAsia="宋体"/>
          <w:rtl w:val="0"/>
          <w:lang w:val="zh-TW" w:eastAsia="zh-TW"/>
        </w:rPr>
        <w:t xml:space="preserve">                               联系方式：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宋体">
    <w:charset w:val="00"/>
    <w:family w:val="roman"/>
    <w:pitch w:val="default"/>
  </w:font>
  <w:font w:name="微软雅黑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Times New Roman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